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D41F5" w14:textId="77777777" w:rsidR="001F515F" w:rsidRPr="001F515F" w:rsidRDefault="001F515F" w:rsidP="001F515F">
      <w:pPr>
        <w:spacing w:line="480" w:lineRule="auto"/>
        <w:rPr>
          <w:rFonts w:ascii="Times New Roman" w:hAnsi="Times New Roman" w:cs="Times New Roman"/>
          <w:b/>
          <w:bCs/>
          <w:sz w:val="24"/>
          <w:szCs w:val="24"/>
        </w:rPr>
      </w:pPr>
      <w:r w:rsidRPr="001F515F">
        <w:rPr>
          <w:rFonts w:ascii="Times New Roman" w:hAnsi="Times New Roman" w:cs="Times New Roman"/>
          <w:b/>
          <w:bCs/>
          <w:sz w:val="24"/>
          <w:szCs w:val="24"/>
        </w:rPr>
        <w:t>Supplementary figure legends</w:t>
      </w:r>
    </w:p>
    <w:p w14:paraId="4F760B85" w14:textId="77777777" w:rsidR="00AD4D11" w:rsidRPr="001F515F" w:rsidRDefault="00AD4D11" w:rsidP="00AD4D11">
      <w:pPr>
        <w:spacing w:line="480" w:lineRule="auto"/>
        <w:rPr>
          <w:rFonts w:ascii="Times New Roman" w:hAnsi="Times New Roman" w:cs="Times New Roman"/>
          <w:b/>
          <w:bCs/>
          <w:sz w:val="24"/>
          <w:szCs w:val="24"/>
        </w:rPr>
      </w:pPr>
      <w:r w:rsidRPr="001F515F">
        <w:rPr>
          <w:rFonts w:ascii="Times New Roman" w:hAnsi="Times New Roman" w:cs="Times New Roman"/>
          <w:b/>
          <w:bCs/>
          <w:sz w:val="24"/>
          <w:szCs w:val="24"/>
        </w:rPr>
        <w:t>Figure S</w:t>
      </w:r>
      <w:r>
        <w:rPr>
          <w:rFonts w:ascii="Times New Roman" w:hAnsi="Times New Roman" w:cs="Times New Roman"/>
          <w:b/>
          <w:bCs/>
          <w:sz w:val="24"/>
          <w:szCs w:val="24"/>
        </w:rPr>
        <w:t>1</w:t>
      </w:r>
    </w:p>
    <w:p w14:paraId="7EA4DAA2" w14:textId="77777777" w:rsidR="00AD4D11" w:rsidRPr="001F515F" w:rsidRDefault="00AD4D11" w:rsidP="00AD4D11">
      <w:pPr>
        <w:spacing w:line="480" w:lineRule="auto"/>
        <w:rPr>
          <w:rFonts w:ascii="Times New Roman" w:hAnsi="Times New Roman" w:cs="Times New Roman"/>
          <w:sz w:val="24"/>
          <w:szCs w:val="24"/>
        </w:rPr>
      </w:pPr>
      <w:r w:rsidRPr="001F515F">
        <w:rPr>
          <w:rFonts w:ascii="Times New Roman" w:hAnsi="Times New Roman" w:cs="Times New Roman"/>
          <w:sz w:val="24"/>
          <w:szCs w:val="24"/>
        </w:rPr>
        <w:t xml:space="preserve">(A) HAI of colons. (B) The qPCR detection of SLC7A11 gene in colitis tissues. (C) H-score intensity of MUC-1 immunohistochemical staining. (D) Schematic diagram of IEC-6 cells co-culture with MSCs. (E) The sequence element of lentivirus structure. (F) The qRT-PCR detection of MUC-1 expression after transfected with MUC-1-overexpression lentivirus in IEC-6 cells. (G) Flow cytometry analysis of GFP after transfected with MUC-1-overexpression lentivirus in IEC-6 cells. Data are presented as mean ± SD. </w:t>
      </w:r>
      <w:r w:rsidRPr="001F515F">
        <w:rPr>
          <w:rFonts w:ascii="Times New Roman" w:hAnsi="Times New Roman" w:cs="Times New Roman"/>
          <w:sz w:val="24"/>
          <w:szCs w:val="24"/>
          <w:vertAlign w:val="superscript"/>
        </w:rPr>
        <w:t>***</w:t>
      </w:r>
      <w:r w:rsidRPr="001F515F">
        <w:rPr>
          <w:rFonts w:ascii="Times New Roman" w:hAnsi="Times New Roman" w:cs="Times New Roman"/>
          <w:sz w:val="24"/>
          <w:szCs w:val="24"/>
        </w:rPr>
        <w:t>P &lt; 0.001.</w:t>
      </w:r>
    </w:p>
    <w:p w14:paraId="268823CE" w14:textId="615DC684" w:rsidR="001F515F" w:rsidRDefault="001F515F" w:rsidP="001F515F">
      <w:pPr>
        <w:spacing w:line="480" w:lineRule="auto"/>
        <w:rPr>
          <w:rFonts w:ascii="Times New Roman" w:hAnsi="Times New Roman" w:cs="Times New Roman"/>
          <w:sz w:val="24"/>
          <w:szCs w:val="24"/>
        </w:rPr>
      </w:pPr>
    </w:p>
    <w:p w14:paraId="39D08158" w14:textId="77777777" w:rsidR="00AD4D11" w:rsidRPr="001F515F" w:rsidRDefault="00AD4D11" w:rsidP="00AD4D11">
      <w:pPr>
        <w:spacing w:line="480" w:lineRule="auto"/>
        <w:rPr>
          <w:rFonts w:ascii="Times New Roman" w:hAnsi="Times New Roman" w:cs="Times New Roman"/>
          <w:sz w:val="24"/>
          <w:szCs w:val="24"/>
        </w:rPr>
      </w:pPr>
      <w:r w:rsidRPr="00AD4D11">
        <w:rPr>
          <w:rFonts w:ascii="Times New Roman" w:hAnsi="Times New Roman" w:cs="Times New Roman"/>
          <w:b/>
          <w:bCs/>
          <w:sz w:val="24"/>
          <w:szCs w:val="24"/>
        </w:rPr>
        <w:t>Figure S</w:t>
      </w:r>
      <w:r>
        <w:rPr>
          <w:rFonts w:ascii="Times New Roman" w:hAnsi="Times New Roman" w:cs="Times New Roman"/>
          <w:b/>
          <w:bCs/>
          <w:sz w:val="24"/>
          <w:szCs w:val="24"/>
        </w:rPr>
        <w:t>2</w:t>
      </w:r>
      <w:r w:rsidRPr="001F515F">
        <w:rPr>
          <w:rFonts w:ascii="Times New Roman" w:hAnsi="Times New Roman" w:cs="Times New Roman"/>
          <w:sz w:val="24"/>
          <w:szCs w:val="24"/>
        </w:rPr>
        <w:t xml:space="preserve"> The representative gating strategy graph of flow cytometry analysis</w:t>
      </w:r>
    </w:p>
    <w:p w14:paraId="0EFEE277" w14:textId="77777777" w:rsidR="00AD4D11" w:rsidRPr="001F515F" w:rsidRDefault="00AD4D11" w:rsidP="00AD4D11">
      <w:pPr>
        <w:spacing w:line="480" w:lineRule="auto"/>
        <w:rPr>
          <w:rFonts w:ascii="Times New Roman" w:hAnsi="Times New Roman" w:cs="Times New Roman"/>
          <w:sz w:val="24"/>
          <w:szCs w:val="24"/>
        </w:rPr>
      </w:pPr>
      <w:r w:rsidRPr="001F515F">
        <w:rPr>
          <w:rFonts w:ascii="Times New Roman" w:hAnsi="Times New Roman" w:cs="Times New Roman"/>
          <w:sz w:val="24"/>
          <w:szCs w:val="24"/>
        </w:rPr>
        <w:t>(A) Flow cytometry analysis of peripheral blood immune cells, including CD3, CD4/CD8, B220, and Ly6G. (B-C) Spleen single-cell flow cytometry analysis, including CD3, CD4/CD8, T-reg, Ly6G, and F4/80.</w:t>
      </w:r>
    </w:p>
    <w:p w14:paraId="6342AC5F" w14:textId="77777777" w:rsidR="00AD4D11" w:rsidRPr="001F515F" w:rsidRDefault="00AD4D11" w:rsidP="00AD4D11">
      <w:pPr>
        <w:spacing w:line="480" w:lineRule="auto"/>
        <w:rPr>
          <w:rFonts w:ascii="Times New Roman" w:hAnsi="Times New Roman" w:cs="Times New Roman"/>
          <w:sz w:val="24"/>
          <w:szCs w:val="24"/>
        </w:rPr>
      </w:pPr>
    </w:p>
    <w:p w14:paraId="6595AB10" w14:textId="77777777" w:rsidR="00AD4D11" w:rsidRPr="001F515F" w:rsidRDefault="00AD4D11" w:rsidP="001F515F">
      <w:pPr>
        <w:spacing w:line="480" w:lineRule="auto"/>
        <w:rPr>
          <w:rFonts w:ascii="Times New Roman" w:hAnsi="Times New Roman" w:cs="Times New Roman"/>
          <w:sz w:val="24"/>
          <w:szCs w:val="24"/>
        </w:rPr>
      </w:pPr>
    </w:p>
    <w:p w14:paraId="6A7B93D7" w14:textId="5B862221" w:rsidR="00AD4D11" w:rsidRPr="001F515F" w:rsidRDefault="00AD4D11" w:rsidP="00AD4D11">
      <w:pPr>
        <w:spacing w:line="480" w:lineRule="auto"/>
        <w:rPr>
          <w:rFonts w:ascii="Times New Roman" w:hAnsi="Times New Roman" w:cs="Times New Roman"/>
          <w:b/>
          <w:bCs/>
          <w:sz w:val="24"/>
          <w:szCs w:val="24"/>
        </w:rPr>
      </w:pPr>
      <w:r w:rsidRPr="001F515F">
        <w:rPr>
          <w:rFonts w:ascii="Times New Roman" w:hAnsi="Times New Roman" w:cs="Times New Roman"/>
          <w:b/>
          <w:bCs/>
          <w:sz w:val="24"/>
          <w:szCs w:val="24"/>
        </w:rPr>
        <w:t>Figure S</w:t>
      </w:r>
      <w:r>
        <w:rPr>
          <w:rFonts w:ascii="Times New Roman" w:hAnsi="Times New Roman" w:cs="Times New Roman"/>
          <w:b/>
          <w:bCs/>
          <w:sz w:val="24"/>
          <w:szCs w:val="24"/>
        </w:rPr>
        <w:t>3</w:t>
      </w:r>
    </w:p>
    <w:p w14:paraId="759E281E" w14:textId="6592FECB" w:rsidR="00AD4D11" w:rsidRDefault="00AD4D11" w:rsidP="001F515F">
      <w:pPr>
        <w:spacing w:line="480" w:lineRule="auto"/>
        <w:rPr>
          <w:rFonts w:ascii="Times New Roman" w:hAnsi="Times New Roman" w:cs="Times New Roman"/>
          <w:b/>
          <w:bCs/>
          <w:sz w:val="24"/>
          <w:szCs w:val="24"/>
        </w:rPr>
      </w:pPr>
      <w:r w:rsidRPr="001F515F">
        <w:rPr>
          <w:rFonts w:ascii="Times New Roman" w:hAnsi="Times New Roman" w:cs="Times New Roman"/>
          <w:sz w:val="24"/>
          <w:szCs w:val="24"/>
        </w:rPr>
        <w:t>(A) The cladogram of microbiota species analyzed by LEfSe. (B) Cluster analysis of differential proteins in between the DSS and MSC treatment group. The expression levels of significantly difference different proteins were standardized by Z-score. DSS group: colon 617, 618 and 619; MSC group: colon666, 667 and 668.</w:t>
      </w:r>
    </w:p>
    <w:p w14:paraId="18BA6DA5" w14:textId="77777777" w:rsidR="001F515F" w:rsidRPr="001F515F" w:rsidRDefault="001F515F" w:rsidP="001F515F">
      <w:pPr>
        <w:spacing w:line="480" w:lineRule="auto"/>
        <w:rPr>
          <w:rFonts w:ascii="Times New Roman" w:hAnsi="Times New Roman" w:cs="Times New Roman"/>
          <w:sz w:val="24"/>
          <w:szCs w:val="24"/>
        </w:rPr>
      </w:pPr>
    </w:p>
    <w:sectPr w:rsidR="001F515F" w:rsidRPr="001F515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29A0" w14:textId="77777777" w:rsidR="00AD4D11" w:rsidRDefault="00AD4D11" w:rsidP="00AD4D11">
      <w:r>
        <w:separator/>
      </w:r>
    </w:p>
  </w:endnote>
  <w:endnote w:type="continuationSeparator" w:id="0">
    <w:p w14:paraId="5D38DFAB" w14:textId="77777777" w:rsidR="00AD4D11" w:rsidRDefault="00AD4D11" w:rsidP="00AD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1B65" w14:textId="77777777" w:rsidR="00AD4D11" w:rsidRDefault="00AD4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FF97" w14:textId="29FCFC3C" w:rsidR="00AD4D11" w:rsidRDefault="00AD4D11">
    <w:pPr>
      <w:pStyle w:val="Footer"/>
    </w:pPr>
    <w:r>
      <w:rPr>
        <w:noProof/>
      </w:rPr>
      <mc:AlternateContent>
        <mc:Choice Requires="wps">
          <w:drawing>
            <wp:anchor distT="0" distB="0" distL="114300" distR="114300" simplePos="0" relativeHeight="251659264" behindDoc="0" locked="0" layoutInCell="0" allowOverlap="1" wp14:anchorId="69655C4A" wp14:editId="36458F4D">
              <wp:simplePos x="0" y="0"/>
              <wp:positionH relativeFrom="page">
                <wp:posOffset>0</wp:posOffset>
              </wp:positionH>
              <wp:positionV relativeFrom="page">
                <wp:posOffset>10237470</wp:posOffset>
              </wp:positionV>
              <wp:extent cx="7560310" cy="263525"/>
              <wp:effectExtent l="0" t="0" r="0" b="3175"/>
              <wp:wrapNone/>
              <wp:docPr id="1" name="MSIPCM2c6f4dea96b395eb9554d573" descr="{&quot;HashCode&quot;:-1348403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35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1A97A" w14:textId="529D61C1" w:rsidR="00AD4D11" w:rsidRPr="00AD4D11" w:rsidRDefault="00AD4D11" w:rsidP="00AD4D11">
                          <w:pPr>
                            <w:jc w:val="left"/>
                            <w:rPr>
                              <w:rFonts w:ascii="Rockwell" w:hAnsi="Rockwell"/>
                              <w:color w:val="0078D7"/>
                              <w:sz w:val="18"/>
                            </w:rPr>
                          </w:pPr>
                          <w:r w:rsidRPr="00AD4D11">
                            <w:rPr>
                              <w:rFonts w:ascii="Rockwell" w:hAnsi="Rockwell"/>
                              <w:color w:val="0078D7"/>
                              <w:sz w:val="18"/>
                            </w:rPr>
                            <w:t>Information Classification: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9655C4A" id="_x0000_t202" coordsize="21600,21600" o:spt="202" path="m,l,21600r21600,l21600,xe">
              <v:stroke joinstyle="miter"/>
              <v:path gradientshapeok="t" o:connecttype="rect"/>
            </v:shapetype>
            <v:shape id="MSIPCM2c6f4dea96b395eb9554d573" o:spid="_x0000_s1026" type="#_x0000_t202" alt="{&quot;HashCode&quot;:-1348403003,&quot;Height&quot;:841.0,&quot;Width&quot;:595.0,&quot;Placement&quot;:&quot;Footer&quot;,&quot;Index&quot;:&quot;Primary&quot;,&quot;Section&quot;:1,&quot;Top&quot;:0.0,&quot;Left&quot;:0.0}" style="position:absolute;left:0;text-align:left;margin-left:0;margin-top:806.1pt;width:595.3pt;height:20.7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" o:allowincell="f" filled="f" stroked="f" strokeweight=".5pt">
              <v:fill o:detectmouseclick="t"/>
              <v:textbox inset="20pt,0,,0">
                <w:txbxContent>
                  <w:p w14:paraId="7B81A97A" w14:textId="529D61C1" w:rsidR="00AD4D11" w:rsidRPr="00AD4D11" w:rsidRDefault="00AD4D11" w:rsidP="00AD4D11">
                    <w:pPr>
                      <w:jc w:val="left"/>
                      <w:rPr>
                        <w:rFonts w:ascii="Rockwell" w:hAnsi="Rockwell"/>
                        <w:color w:val="0078D7"/>
                        <w:sz w:val="18"/>
                      </w:rPr>
                    </w:pPr>
                    <w:r w:rsidRPr="00AD4D11">
                      <w:rPr>
                        <w:rFonts w:ascii="Rockwell" w:hAnsi="Rockwell"/>
                        <w:color w:val="0078D7"/>
                        <w:sz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F1CF" w14:textId="77777777" w:rsidR="00AD4D11" w:rsidRDefault="00AD4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7DBB8" w14:textId="77777777" w:rsidR="00AD4D11" w:rsidRDefault="00AD4D11" w:rsidP="00AD4D11">
      <w:r>
        <w:separator/>
      </w:r>
    </w:p>
  </w:footnote>
  <w:footnote w:type="continuationSeparator" w:id="0">
    <w:p w14:paraId="60DCFA00" w14:textId="77777777" w:rsidR="00AD4D11" w:rsidRDefault="00AD4D11" w:rsidP="00AD4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A015" w14:textId="77777777" w:rsidR="00AD4D11" w:rsidRDefault="00AD4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EA47F" w14:textId="77777777" w:rsidR="00AD4D11" w:rsidRDefault="00AD4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B221F" w14:textId="77777777" w:rsidR="00AD4D11" w:rsidRDefault="00AD4D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15F"/>
    <w:rsid w:val="001F515F"/>
    <w:rsid w:val="00253D94"/>
    <w:rsid w:val="00AD4D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1899C"/>
  <w15:chartTrackingRefBased/>
  <w15:docId w15:val="{995180AA-4562-434A-BC77-4153D059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D11"/>
    <w:pPr>
      <w:tabs>
        <w:tab w:val="center" w:pos="4513"/>
        <w:tab w:val="right" w:pos="9026"/>
      </w:tabs>
    </w:pPr>
  </w:style>
  <w:style w:type="character" w:customStyle="1" w:styleId="HeaderChar">
    <w:name w:val="Header Char"/>
    <w:basedOn w:val="DefaultParagraphFont"/>
    <w:link w:val="Header"/>
    <w:uiPriority w:val="99"/>
    <w:rsid w:val="00AD4D11"/>
  </w:style>
  <w:style w:type="paragraph" w:styleId="Footer">
    <w:name w:val="footer"/>
    <w:basedOn w:val="Normal"/>
    <w:link w:val="FooterChar"/>
    <w:uiPriority w:val="99"/>
    <w:unhideWhenUsed/>
    <w:rsid w:val="00AD4D11"/>
    <w:pPr>
      <w:tabs>
        <w:tab w:val="center" w:pos="4513"/>
        <w:tab w:val="right" w:pos="9026"/>
      </w:tabs>
    </w:pPr>
  </w:style>
  <w:style w:type="character" w:customStyle="1" w:styleId="FooterChar">
    <w:name w:val="Footer Char"/>
    <w:basedOn w:val="DefaultParagraphFont"/>
    <w:link w:val="Footer"/>
    <w:uiPriority w:val="99"/>
    <w:rsid w:val="00AD4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992</Characters>
  <Application>Microsoft Office Word</Application>
  <DocSecurity>4</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07</dc:creator>
  <cp:keywords/>
  <dc:description/>
  <cp:lastModifiedBy>Olliver, Tania</cp:lastModifiedBy>
  <cp:revision>2</cp:revision>
  <dcterms:created xsi:type="dcterms:W3CDTF">2023-05-02T05:38:00Z</dcterms:created>
  <dcterms:modified xsi:type="dcterms:W3CDTF">2023-05-02T05:38:00Z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2023-05-02T05:38:27Z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c0e9e000-195e-487e-8ccd-26453b438120</vt:lpwstr>
  </property>
  <property fmtid="{D5CDD505-2E9C-101B-9397-08002B2CF9AE}" pid="8" name="MSIP_Label_2bbab825-a111-45e4-86a1-18cee0005896_ContentBits">
    <vt:lpwstr>2</vt:lpwstr>
  </property>
</Properties>
</file>